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60C0D091" wp14:textId="7DFE5932">
      <w:pPr>
        <w:pStyle w:val="Heading1"/>
        <w:jc w:val="center"/>
      </w:pPr>
      <w:r w:rsidR="6830BB0E">
        <w:rPr/>
        <w:t xml:space="preserve">Commercial Lines Trucking – Underwriting and Operations </w:t>
      </w:r>
    </w:p>
    <w:p xmlns:wp14="http://schemas.microsoft.com/office/word/2010/wordml" w14:paraId="672A6659" wp14:textId="77777777"/>
    <w:p xmlns:wp14="http://schemas.microsoft.com/office/word/2010/wordml" w14:paraId="4EA018F5" wp14:textId="77777777">
      <w:pPr>
        <w:pStyle w:val="Heading2"/>
      </w:pPr>
      <w:r>
        <w:t>Underwriting Process in Commercial Line Trucking</w:t>
      </w:r>
    </w:p>
    <w:p xmlns:wp14="http://schemas.microsoft.com/office/word/2010/wordml" w14:paraId="55B4BA1B" wp14:textId="77777777">
      <w:pPr>
        <w:spacing w:after="200" w:line="312" w:lineRule="auto"/>
      </w:pPr>
      <w:r>
        <w:rPr>
          <w:color w:val="000000"/>
          <w:sz w:val="22"/>
        </w:rPr>
        <w:t>Underwriting in commercial line trucking involves evaluating the risk of insuring a trucking business. The underwriter reviews factors like driver history, vehicle type, cargo, radius of operation, safety records, and past losses. Based on this risk assessment, the underwriter determines premiums, coverage terms, and eligibility. The goal is to ensure that the policy accurately reflects the risk exposure while maintaining profitability for the insurance carrier.</w:t>
      </w:r>
    </w:p>
    <w:p xmlns:wp14="http://schemas.microsoft.com/office/word/2010/wordml" w14:paraId="1B054176" wp14:textId="77777777">
      <w:pPr>
        <w:pStyle w:val="Heading2"/>
      </w:pPr>
      <w:r>
        <w:t>Endorsement Process</w:t>
      </w:r>
    </w:p>
    <w:p xmlns:wp14="http://schemas.microsoft.com/office/word/2010/wordml" w14:paraId="4B144CB8" wp14:textId="77777777">
      <w:pPr>
        <w:spacing w:after="200" w:line="312" w:lineRule="auto"/>
      </w:pPr>
      <w:r>
        <w:rPr>
          <w:color w:val="000000"/>
          <w:sz w:val="22"/>
        </w:rPr>
        <w:t>An endorsement is a policy change request made after the initial policy is issued. The process involves receiving the request (via PCR), verifying details, checking underwriting guidelines, calculating any premium changes (additional or return), and updating the policy. Endorsements can include adding/removing vehicles, drivers, or coverages. Once approved, an endorsement form is issued, reflecting the changes and adjusted premium.</w:t>
      </w:r>
    </w:p>
    <w:p xmlns:wp14="http://schemas.microsoft.com/office/word/2010/wordml" w14:paraId="7606808D" wp14:textId="77777777">
      <w:pPr>
        <w:pStyle w:val="Heading2"/>
      </w:pPr>
      <w:r>
        <w:t>PCR (Policy Change Request)</w:t>
      </w:r>
    </w:p>
    <w:p xmlns:wp14="http://schemas.microsoft.com/office/word/2010/wordml" w14:paraId="4A8196AD" wp14:textId="77777777">
      <w:pPr>
        <w:spacing w:after="200" w:line="312" w:lineRule="auto"/>
      </w:pPr>
      <w:r>
        <w:rPr>
          <w:color w:val="000000"/>
          <w:sz w:val="22"/>
        </w:rPr>
        <w:t>A PCR is a formal request to modify an existing insurance policy. It may involve adding or deleting vehicles, changing coverage limits, updating driver lists, or revising business details. The PCR must be reviewed by the underwriting team for compliance with carrier guidelines before processing any endorsement.</w:t>
      </w:r>
    </w:p>
    <w:p xmlns:wp14="http://schemas.microsoft.com/office/word/2010/wordml" w14:paraId="5F7DAC22" wp14:textId="77777777">
      <w:pPr>
        <w:pStyle w:val="Heading2"/>
      </w:pPr>
      <w:r>
        <w:t>Full Term Premium</w:t>
      </w:r>
    </w:p>
    <w:p xmlns:wp14="http://schemas.microsoft.com/office/word/2010/wordml" w14:paraId="7126C981" wp14:textId="77777777">
      <w:pPr>
        <w:spacing w:after="200" w:line="312" w:lineRule="auto"/>
      </w:pPr>
      <w:r>
        <w:rPr>
          <w:color w:val="000000"/>
          <w:sz w:val="22"/>
        </w:rPr>
        <w:t>Full term premium refers to the total premium charged for the entire policy period (usually 12 months) without any changes or cancellations. It represents the cost of coverage for the full policy term based on the insured risk at inception.</w:t>
      </w:r>
    </w:p>
    <w:p xmlns:wp14="http://schemas.microsoft.com/office/word/2010/wordml" w14:paraId="535A9F63" wp14:textId="77777777">
      <w:pPr>
        <w:pStyle w:val="Heading2"/>
      </w:pPr>
      <w:r>
        <w:t>Prorated Premium</w:t>
      </w:r>
    </w:p>
    <w:p xmlns:wp14="http://schemas.microsoft.com/office/word/2010/wordml" w14:paraId="0DD753B1" wp14:textId="77777777">
      <w:pPr>
        <w:spacing w:after="200" w:line="312" w:lineRule="auto"/>
      </w:pPr>
      <w:r>
        <w:rPr>
          <w:color w:val="000000"/>
          <w:sz w:val="22"/>
        </w:rPr>
        <w:t>A prorated premium is calculated when a policy is started, changed, or cancelled partway through the term. It ensures the insured pays only for the time the coverage was active. For example, if a 12-month policy is cancelled after 6 months, only half the premium is earned, and the rest may be refunded.</w:t>
      </w:r>
    </w:p>
    <w:p xmlns:wp14="http://schemas.microsoft.com/office/word/2010/wordml" w14:paraId="67CF8E4C" wp14:textId="77777777">
      <w:pPr>
        <w:pStyle w:val="Heading2"/>
      </w:pPr>
      <w:r>
        <w:t>Return Premium</w:t>
      </w:r>
    </w:p>
    <w:p xmlns:wp14="http://schemas.microsoft.com/office/word/2010/wordml" w14:paraId="4360D8AD" wp14:textId="77777777">
      <w:pPr>
        <w:spacing w:after="200" w:line="312" w:lineRule="auto"/>
      </w:pPr>
      <w:r>
        <w:rPr>
          <w:color w:val="000000"/>
          <w:sz w:val="22"/>
        </w:rPr>
        <w:t>Return premium occurs when a policy is cancelled or reduced in coverage, and the insurer owes the insured a refund for the unused portion of the policy. It is typically calculated on a prorated basis unless the policy specifies short-rate cancellation terms.</w:t>
      </w:r>
    </w:p>
    <w:p xmlns:wp14="http://schemas.microsoft.com/office/word/2010/wordml" w14:paraId="3FB0CB36" wp14:textId="77777777">
      <w:pPr>
        <w:pStyle w:val="Heading2"/>
      </w:pPr>
      <w:r>
        <w:t>Premium Calculation for PDMTC and NT Coverages</w:t>
      </w:r>
    </w:p>
    <w:p xmlns:wp14="http://schemas.microsoft.com/office/word/2010/wordml" w14:paraId="3BC9D18B" wp14:textId="77777777">
      <w:pPr>
        <w:spacing w:after="200" w:line="312" w:lineRule="auto"/>
      </w:pPr>
      <w:r>
        <w:rPr>
          <w:color w:val="000000"/>
          <w:sz w:val="22"/>
        </w:rPr>
        <w:t>For coverages like PDMTC (Physical Damage Motor Truck Cargo) and NT (Non-Trucking), the full term premium is calculated using the rate provided by the carrier for the full 12-month period. To determine the prorated premium, multiply the full term premium by the ratio of days active to the total policy term (e.g., 180/365 for half-year coverage).</w:t>
      </w:r>
    </w:p>
    <w:p xmlns:wp14="http://schemas.microsoft.com/office/word/2010/wordml" w14:paraId="1027B030" wp14:textId="77777777">
      <w:pPr>
        <w:pStyle w:val="Heading2"/>
      </w:pPr>
      <w:r>
        <w:t>MVR (Motor Vehicle Record)</w:t>
      </w:r>
    </w:p>
    <w:p xmlns:wp14="http://schemas.microsoft.com/office/word/2010/wordml" w14:paraId="5EDC8C36" wp14:textId="77777777">
      <w:pPr>
        <w:spacing w:after="200" w:line="312" w:lineRule="auto"/>
      </w:pPr>
      <w:r>
        <w:rPr>
          <w:color w:val="000000"/>
          <w:sz w:val="22"/>
        </w:rPr>
        <w:t>An MVR is a record of a driver's license history, violations, suspensions, and accidents. It helps assess a driver's risk profile. Underwriters review MVRs to ensure compliance with carrier safety standards. Key items to check include license status, violation type, violation date, accident history, and major offenses like DUIs or reckless driving.</w:t>
      </w:r>
    </w:p>
    <w:p xmlns:wp14="http://schemas.microsoft.com/office/word/2010/wordml" w14:paraId="0C26AB67" wp14:textId="77777777">
      <w:pPr>
        <w:pStyle w:val="Heading2"/>
      </w:pPr>
      <w:r>
        <w:t>Writing Company</w:t>
      </w:r>
    </w:p>
    <w:p xmlns:wp14="http://schemas.microsoft.com/office/word/2010/wordml" w14:paraId="44707B26" wp14:textId="77777777">
      <w:pPr>
        <w:spacing w:after="200" w:line="312" w:lineRule="auto"/>
      </w:pPr>
      <w:r>
        <w:rPr>
          <w:color w:val="000000"/>
          <w:sz w:val="22"/>
        </w:rPr>
        <w:t>A writing company is the legal insurance company that issues the policy and assumes the financial risk. Agencies often work with multiple writing companies under a managing general agency (MGA). The writing company determines underwriting rules, rates, and policy forms.</w:t>
      </w:r>
    </w:p>
    <w:p xmlns:wp14="http://schemas.microsoft.com/office/word/2010/wordml" w14:paraId="3B6216D2" wp14:textId="77777777">
      <w:pPr>
        <w:pStyle w:val="Heading2"/>
      </w:pPr>
      <w:r>
        <w:t>Continental Trucking Association (CTA)</w:t>
      </w:r>
    </w:p>
    <w:p xmlns:wp14="http://schemas.microsoft.com/office/word/2010/wordml" w14:paraId="45FD9603" wp14:textId="77777777">
      <w:pPr>
        <w:spacing w:after="200" w:line="312" w:lineRule="auto"/>
      </w:pPr>
      <w:r>
        <w:rPr>
          <w:color w:val="000000"/>
          <w:sz w:val="22"/>
        </w:rPr>
        <w:t>CTA (Continental Trucking Association) is typically an underwriting group or entity that oversees trucking policies for specific carriers. It helps standardize risk guidelines, driver qualifications, and coverage rules for trucking-related policies.</w:t>
      </w:r>
    </w:p>
    <w:p xmlns:wp14="http://schemas.microsoft.com/office/word/2010/wordml" w14:paraId="3D82B711" wp14:textId="77777777">
      <w:pPr>
        <w:pStyle w:val="Heading2"/>
      </w:pPr>
      <w:r>
        <w:t>Age Restrictions in Different Carriers</w:t>
      </w:r>
    </w:p>
    <w:p xmlns:wp14="http://schemas.microsoft.com/office/word/2010/wordml" w14:paraId="13BAA4E9" wp14:textId="77777777">
      <w:pPr>
        <w:spacing w:after="200" w:line="312" w:lineRule="auto"/>
      </w:pPr>
      <w:r>
        <w:rPr>
          <w:color w:val="000000"/>
          <w:sz w:val="22"/>
        </w:rPr>
        <w:t>Most carriers impose minimum and maximum driver age limits. Typically, drivers must be at least 21 years old for interstate operations. Many carriers restrict drivers under 25 or over 65 due to higher risk. Some carriers may allow exceptions with additional experience or clean MVRs.</w:t>
      </w:r>
    </w:p>
    <w:p xmlns:wp14="http://schemas.microsoft.com/office/word/2010/wordml" w14:paraId="255C6CD2" wp14:textId="77777777">
      <w:pPr>
        <w:pStyle w:val="Heading2"/>
      </w:pPr>
      <w:r>
        <w:t>Long Form Medical</w:t>
      </w:r>
    </w:p>
    <w:p xmlns:wp14="http://schemas.microsoft.com/office/word/2010/wordml" w14:paraId="56A94C74" wp14:textId="77777777">
      <w:pPr>
        <w:spacing w:after="200" w:line="312" w:lineRule="auto"/>
      </w:pPr>
      <w:r>
        <w:rPr>
          <w:color w:val="000000"/>
          <w:sz w:val="22"/>
        </w:rPr>
        <w:t>The long form medical (DOT Medical Examination Report) is a detailed physical report that verifies a commercial driver’s fitness to operate a CMV (Commercial Motor Vehicle). It includes vision, hearing, and health tests conducted by a certified medical examiner. A valid long form medical certificate is mandatory for driver qualification.</w:t>
      </w:r>
    </w:p>
    <w:p xmlns:wp14="http://schemas.microsoft.com/office/word/2010/wordml" w14:paraId="1181D558" wp14:textId="77777777">
      <w:pPr>
        <w:pStyle w:val="Heading2"/>
      </w:pPr>
      <w:r>
        <w:t>Major and Minor Violations</w:t>
      </w:r>
    </w:p>
    <w:p xmlns:wp14="http://schemas.microsoft.com/office/word/2010/wordml" w14:paraId="61BE309B" wp14:textId="77777777">
      <w:pPr>
        <w:spacing w:after="200" w:line="312" w:lineRule="auto"/>
      </w:pPr>
      <w:r>
        <w:rPr>
          <w:color w:val="000000"/>
          <w:sz w:val="22"/>
        </w:rPr>
        <w:t>Major violations include serious offenses such as DUI, reckless driving, leaving the scene of an accident, or driving with a suspended license. Minor violations include speeding, following too closely, or improper lane changes. Major violations can disqualify a driver or lead to higher premiums, while multiple minor violations can also affect eligibility.</w:t>
      </w:r>
    </w:p>
    <w:p xmlns:wp14="http://schemas.microsoft.com/office/word/2010/wordml" w14:paraId="300216C7" wp14:textId="77777777">
      <w:pPr>
        <w:pStyle w:val="Heading2"/>
      </w:pPr>
      <w:r>
        <w:t>Experience Criteria for Each Carrier</w:t>
      </w:r>
    </w:p>
    <w:p xmlns:wp14="http://schemas.microsoft.com/office/word/2010/wordml" w14:paraId="58A707C0" wp14:textId="77777777">
      <w:pPr>
        <w:spacing w:after="200" w:line="312" w:lineRule="auto"/>
      </w:pPr>
      <w:r>
        <w:rPr>
          <w:color w:val="000000"/>
          <w:sz w:val="22"/>
        </w:rPr>
        <w:t>Carriers have experience requirements to ensure driver safety. Most require at least 2 years of CDL experience for long-haul trucking. Some may accept 1 year with clean MVRs. Experience criteria vary by carrier and are verified through employment history or driving records.</w:t>
      </w:r>
    </w:p>
    <w:p xmlns:wp14="http://schemas.microsoft.com/office/word/2010/wordml" w14:paraId="3DC1AC44" wp14:textId="77777777">
      <w:pPr>
        <w:pStyle w:val="Heading2"/>
      </w:pPr>
      <w:r>
        <w:t>Email Writing Skills</w:t>
      </w:r>
    </w:p>
    <w:p xmlns:wp14="http://schemas.microsoft.com/office/word/2010/wordml" w14:paraId="1C5ED98C" wp14:noSpellErr="1" wp14:textId="758E0F73">
      <w:pPr>
        <w:spacing w:after="200" w:line="312" w:lineRule="auto"/>
      </w:pPr>
      <w:r w:rsidRPr="7FF02409" w:rsidR="7FF02409">
        <w:rPr>
          <w:color w:val="000000" w:themeColor="text1" w:themeTint="FF" w:themeShade="FF"/>
          <w:sz w:val="22"/>
          <w:szCs w:val="22"/>
        </w:rPr>
        <w:t xml:space="preserve">Key factors for drafting professional emails </w:t>
      </w:r>
      <w:r w:rsidRPr="7FF02409" w:rsidR="7FF02409">
        <w:rPr>
          <w:color w:val="000000" w:themeColor="text1" w:themeTint="FF" w:themeShade="FF"/>
          <w:sz w:val="22"/>
          <w:szCs w:val="22"/>
        </w:rPr>
        <w:t>include:</w:t>
      </w:r>
      <w:r w:rsidRPr="7FF02409" w:rsidR="7FF02409">
        <w:rPr>
          <w:color w:val="000000" w:themeColor="text1" w:themeTint="FF" w:themeShade="FF"/>
          <w:sz w:val="22"/>
          <w:szCs w:val="22"/>
        </w:rPr>
        <w:t xml:space="preserve"> clarity, correct grammar, polite tone, proper structure (greeting, body, closing), and relevance. Avoid long sentences, use bullet points for clarity, and always read before sending. Maintain professionalism even when addressing issues or corrections.</w:t>
      </w:r>
    </w:p>
    <w:sectPr w:rsidRPr="0006063C" w:rsidR="00FC693F" w:rsidSect="00034616">
      <w:footerReference w:type="default" r:id="rId9"/>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2B1C2D9A" wp14:textId="77777777">
    <w:pPr>
      <w:pStyle w:val="Footer"/>
      <w:jc w:val="center"/>
    </w:pPr>
    <w:r>
      <w:rPr>
        <w:i/>
        <w:sz w:val="20"/>
      </w:rPr>
      <w:t>Prepared for Resource Interview – Commercial Lines Trucking (With Answers)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830BB0E"/>
    <w:rsid w:val="7FF0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A8F8919E-C3F1-418C-B9B1-D677B134E3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Guest User</lastModifiedBy>
  <revision>3</revision>
  <dcterms:created xsi:type="dcterms:W3CDTF">2013-12-23T23:15:00.0000000Z</dcterms:created>
  <dcterms:modified xsi:type="dcterms:W3CDTF">2025-12-05T15:57:28.8550698Z</dcterms:modified>
  <category/>
</coreProperties>
</file>